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584"/>
        <w:gridCol w:w="1326"/>
        <w:gridCol w:w="1084"/>
        <w:gridCol w:w="2357"/>
        <w:gridCol w:w="5245"/>
      </w:tblGrid>
      <w:tr w:rsidR="00B770C3" w:rsidRPr="00B770C3" w:rsidTr="00B770C3">
        <w:trPr>
          <w:trHeight w:val="34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bookmarkStart w:id="0" w:name="RANGE!A1:G64"/>
            <w:bookmarkStart w:id="1" w:name="_GoBack"/>
            <w:bookmarkEnd w:id="1"/>
            <w:r w:rsidRPr="00B770C3">
              <w:rPr>
                <w:b/>
                <w:bCs/>
              </w:rPr>
              <w:t>Lancashire County Pension Fund</w:t>
            </w:r>
            <w:bookmarkEnd w:id="0"/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34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Fund Account Budget Monitoring - year ended 31 March 2018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34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420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Budget 2017.18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Actual 2017.18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Budget variance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Comments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Q1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Q1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Q1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£'000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£'000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£'000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  <w:color w:val="FF0000"/>
              </w:rPr>
              <w:t>(Favourable</w:t>
            </w:r>
            <w:r w:rsidRPr="00B770C3">
              <w:rPr>
                <w:b/>
                <w:bCs/>
              </w:rPr>
              <w:t>) / Adverse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312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INCOME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Contributions Receivable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From Employers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(47,438)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(47,829)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rPr>
                <w:color w:val="FF0000"/>
              </w:rPr>
              <w:t>(391)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From Employees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(14,180)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(14,067)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113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contributions receivable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(61,619)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(61,896)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(278)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Transfers In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(1,663)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(3,409)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(1,746)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Investment Income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(27,307)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(28,961)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(1,655)</w:t>
            </w:r>
          </w:p>
        </w:tc>
        <w:tc>
          <w:tcPr>
            <w:tcW w:w="5245" w:type="dxa"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312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INCOME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(90,588)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(94,267)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(3,679)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312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EXPENDITURE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Benefits Payable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Pensions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52,220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53,048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828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Lump Sum Benefits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11,438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7,422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rPr>
                <w:color w:val="FF0000"/>
              </w:rPr>
              <w:t>(4,016)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benefits payable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63,658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60,470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  <w:color w:val="FF0000"/>
              </w:rPr>
              <w:t>(3,188)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lastRenderedPageBreak/>
              <w:t>Transfers out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3,438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2,224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(1,213)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Refund of Contributions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145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123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(22)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Contributions Equivalent Premium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  <w:color w:val="FF0000"/>
              </w:rPr>
              <w:t>(11)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(11)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Fund administrative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LPP administrative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894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809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(85)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 xml:space="preserve"> Favourable variance against support and additional services (£400k p.a.) 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Other administrative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35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8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(27)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 xml:space="preserve"> Awaiting invoice for BTLS EPIC system enhancements for contribution collection. 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Write off of bad debts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4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2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(1)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administrative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 xml:space="preserve">                                    933 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 xml:space="preserve">                           819 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 xml:space="preserve">-                                       114 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Investment management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576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LPP investment management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1,536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1,915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380</w:t>
            </w:r>
          </w:p>
        </w:tc>
        <w:tc>
          <w:tcPr>
            <w:tcW w:w="5245" w:type="dxa"/>
            <w:hideMark/>
          </w:tcPr>
          <w:p w:rsidR="00B770C3" w:rsidRPr="00B770C3" w:rsidRDefault="00B770C3" w:rsidP="00B770C3">
            <w:r w:rsidRPr="00B770C3">
              <w:t xml:space="preserve"> Mitigated in part by favourable variance against 'other investment manager' fees.   Phasing of transition of investments. </w:t>
            </w:r>
          </w:p>
        </w:tc>
      </w:tr>
      <w:tr w:rsidR="00B770C3" w:rsidRPr="00B770C3" w:rsidTr="00B770C3">
        <w:trPr>
          <w:trHeight w:val="780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Transition costs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433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0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(433)</w:t>
            </w:r>
          </w:p>
        </w:tc>
        <w:tc>
          <w:tcPr>
            <w:tcW w:w="5245" w:type="dxa"/>
            <w:hideMark/>
          </w:tcPr>
          <w:p w:rsidR="00B770C3" w:rsidRPr="00B770C3" w:rsidRDefault="00B770C3" w:rsidP="00B770C3">
            <w:r w:rsidRPr="00B770C3">
              <w:t xml:space="preserve"> No transition costs incurred in year to date (£2.0m recognised in 16/17 for global equities transition). 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Other investment management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6,520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6,282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(238)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investment management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8,489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8,198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  <w:color w:val="FF0000"/>
              </w:rPr>
              <w:t>(292)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Oversight and Governance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Performance measurement fees (including Panel)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23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(10)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(32)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IAS19 advisory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25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54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t>29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Other advisory fees (including abortive fees)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1,050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1,002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r w:rsidRPr="00B770C3">
              <w:rPr>
                <w:color w:val="FF0000"/>
              </w:rPr>
              <w:t>(48)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Actuarial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13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4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(8)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lastRenderedPageBreak/>
              <w:t>Custody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25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20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(5)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Audit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13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rPr>
                <w:color w:val="FF0000"/>
              </w:rPr>
              <w:t>(29)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(42)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Legal &amp; professional fees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150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51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(99)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915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LCC recharges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161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72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(90)</w:t>
            </w:r>
          </w:p>
        </w:tc>
        <w:tc>
          <w:tcPr>
            <w:tcW w:w="5245" w:type="dxa"/>
            <w:hideMark/>
          </w:tcPr>
          <w:p w:rsidR="00B770C3" w:rsidRPr="00B770C3" w:rsidRDefault="00B770C3" w:rsidP="00B770C3">
            <w:r w:rsidRPr="00B770C3">
              <w:t xml:space="preserve"> Actuals include recharge of corporate finance and legal staff.  Budgeted democratic services invoice not yet received or recognised.  £300k other income to be recharged by LCC is under review. 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Bank charges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2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0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(2)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r w:rsidRPr="00B770C3">
              <w:t>Property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625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517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(108)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oversight and governance expenses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2,086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1,681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(405)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312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TOTAL EXPENDITURE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78,748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73,505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(5,244)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288"/>
        </w:trPr>
        <w:tc>
          <w:tcPr>
            <w:tcW w:w="45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color w:val="FF0000"/>
              </w:rPr>
            </w:pPr>
            <w:r w:rsidRPr="00B770C3">
              <w:rPr>
                <w:color w:val="FF0000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  <w:tr w:rsidR="00B770C3" w:rsidRPr="00B770C3" w:rsidTr="00B770C3">
        <w:trPr>
          <w:trHeight w:val="915"/>
        </w:trPr>
        <w:tc>
          <w:tcPr>
            <w:tcW w:w="4584" w:type="dxa"/>
            <w:hideMark/>
          </w:tcPr>
          <w:p w:rsidR="00B770C3" w:rsidRPr="00B770C3" w:rsidRDefault="00B770C3" w:rsidP="00B770C3">
            <w:pPr>
              <w:rPr>
                <w:b/>
                <w:bCs/>
              </w:rPr>
            </w:pPr>
            <w:r w:rsidRPr="00B770C3">
              <w:rPr>
                <w:b/>
                <w:bCs/>
              </w:rPr>
              <w:t>(SURPLUS) / DEFICIT  BEFORE REALISED AND UNREALISED PROFITS AND LOSSES ON INVESTMENTS</w:t>
            </w:r>
          </w:p>
        </w:tc>
        <w:tc>
          <w:tcPr>
            <w:tcW w:w="1326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(11,840)</w:t>
            </w:r>
          </w:p>
        </w:tc>
        <w:tc>
          <w:tcPr>
            <w:tcW w:w="1084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(20,762)</w:t>
            </w:r>
          </w:p>
        </w:tc>
        <w:tc>
          <w:tcPr>
            <w:tcW w:w="2357" w:type="dxa"/>
            <w:noWrap/>
            <w:hideMark/>
          </w:tcPr>
          <w:p w:rsidR="00B770C3" w:rsidRPr="00B770C3" w:rsidRDefault="00B770C3" w:rsidP="00B770C3">
            <w:pPr>
              <w:rPr>
                <w:b/>
                <w:bCs/>
                <w:color w:val="FF0000"/>
              </w:rPr>
            </w:pPr>
            <w:r w:rsidRPr="00B770C3">
              <w:rPr>
                <w:b/>
                <w:bCs/>
                <w:color w:val="FF0000"/>
              </w:rPr>
              <w:t>(8,922)</w:t>
            </w:r>
          </w:p>
        </w:tc>
        <w:tc>
          <w:tcPr>
            <w:tcW w:w="5245" w:type="dxa"/>
            <w:noWrap/>
            <w:hideMark/>
          </w:tcPr>
          <w:p w:rsidR="00B770C3" w:rsidRPr="00B770C3" w:rsidRDefault="00B770C3" w:rsidP="00B770C3">
            <w:r w:rsidRPr="00B770C3">
              <w:t> </w:t>
            </w:r>
          </w:p>
        </w:tc>
      </w:tr>
    </w:tbl>
    <w:p w:rsidR="00B770C3" w:rsidRDefault="00B770C3" w:rsidP="00B770C3">
      <w:pPr>
        <w:spacing w:after="0"/>
      </w:pPr>
    </w:p>
    <w:sectPr w:rsidR="00B770C3" w:rsidSect="00B770C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CC" w:rsidRDefault="00265FCC" w:rsidP="00265FCC">
      <w:pPr>
        <w:spacing w:after="0" w:line="240" w:lineRule="auto"/>
      </w:pPr>
      <w:r>
        <w:separator/>
      </w:r>
    </w:p>
  </w:endnote>
  <w:endnote w:type="continuationSeparator" w:id="0">
    <w:p w:rsidR="00265FCC" w:rsidRDefault="00265FCC" w:rsidP="0026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CC" w:rsidRDefault="00265FCC" w:rsidP="00265FCC">
      <w:pPr>
        <w:spacing w:after="0" w:line="240" w:lineRule="auto"/>
      </w:pPr>
      <w:r>
        <w:separator/>
      </w:r>
    </w:p>
  </w:footnote>
  <w:footnote w:type="continuationSeparator" w:id="0">
    <w:p w:rsidR="00265FCC" w:rsidRDefault="00265FCC" w:rsidP="0026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CC" w:rsidRPr="00265FCC" w:rsidRDefault="00265FCC" w:rsidP="00265FCC">
    <w:pPr>
      <w:pStyle w:val="Header"/>
      <w:jc w:val="right"/>
      <w:rPr>
        <w:rFonts w:ascii="Arial" w:hAnsi="Arial" w:cs="Arial"/>
        <w:b/>
        <w:sz w:val="24"/>
        <w:szCs w:val="24"/>
      </w:rPr>
    </w:pPr>
    <w:r w:rsidRPr="00265FCC">
      <w:rPr>
        <w:rFonts w:ascii="Arial" w:hAnsi="Arial" w:cs="Arial"/>
        <w:b/>
        <w:sz w:val="24"/>
        <w:szCs w:val="24"/>
      </w:rPr>
      <w:t>APPENDIX 'A'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C3"/>
    <w:rsid w:val="00265FCC"/>
    <w:rsid w:val="00B770C3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ACAE-EF4C-4A4A-B4E8-E55E07B1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CC"/>
  </w:style>
  <w:style w:type="paragraph" w:styleId="Footer">
    <w:name w:val="footer"/>
    <w:basedOn w:val="Normal"/>
    <w:link w:val="FooterChar"/>
    <w:uiPriority w:val="99"/>
    <w:unhideWhenUsed/>
    <w:rsid w:val="0026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Neville, Mike</cp:lastModifiedBy>
  <cp:revision>2</cp:revision>
  <dcterms:created xsi:type="dcterms:W3CDTF">2017-08-24T08:06:00Z</dcterms:created>
  <dcterms:modified xsi:type="dcterms:W3CDTF">2017-08-24T08:19:00Z</dcterms:modified>
</cp:coreProperties>
</file>